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999" w:rsidP="00DF4999" w:rsidRDefault="00DF4999" w14:paraId="16A12693" w14:textId="77777777">
      <w:pPr>
        <w:pStyle w:val="Title"/>
      </w:pPr>
      <w:r w:rsidRPr="00DF4999">
        <w:t xml:space="preserve">General Terms Of Employment </w:t>
      </w:r>
      <w:r>
        <w:t>F</w:t>
      </w:r>
      <w:r w:rsidRPr="00DF4999">
        <w:t xml:space="preserve">or Academic Staff Members </w:t>
      </w:r>
    </w:p>
    <w:p w:rsidRPr="00DF4999" w:rsidR="00C53399" w:rsidP="00DF4999" w:rsidRDefault="00DF4999" w14:paraId="5B25B2BC" w14:textId="395E2A7C">
      <w:pPr>
        <w:rPr>
          <w:rStyle w:val="Emphasis"/>
        </w:rPr>
      </w:pPr>
      <w:r w:rsidRPr="00DF4999">
        <w:rPr>
          <w:rStyle w:val="Emphasis"/>
        </w:rPr>
        <w:t>(Excerpted From University Of Illinois Statutes And The General Rules)</w:t>
      </w:r>
    </w:p>
    <w:p w:rsidR="00C53399" w:rsidP="00C53399" w:rsidRDefault="00C53399" w14:paraId="5046C929" w14:textId="77777777">
      <w:pPr>
        <w:pStyle w:val="BodyText"/>
        <w:spacing w:before="6"/>
        <w:rPr>
          <w:b/>
          <w:sz w:val="21"/>
        </w:rPr>
      </w:pPr>
    </w:p>
    <w:p w:rsidR="00C53399" w:rsidP="00D75200" w:rsidRDefault="00C53399" w14:paraId="46A01531" w14:textId="49BCA0C5">
      <w:r w:rsidRPr="00D75200">
        <w:t xml:space="preserve">Academic staff members are subject to policies of the University contained in the University of Illinois Statutes and General Rules Concerning University Organization and Procedure, the UIUC Campus Administrative Manual, and the UIUC Provost’s Communications, all of which are subject to modification from time to time. The following excerpts from the University of Illinois Statutes and General Rules contain some of the important aspects of the terms of employment and are for the information of the appointee. The information below does not purport to be exhaustive. New academic appointees are also directed to the UIUC </w:t>
      </w:r>
      <w:hyperlink w:history="1" r:id="rId8">
        <w:r w:rsidRPr="00D75200" w:rsidR="00D75200">
          <w:rPr>
            <w:rStyle w:val="Hyperlink"/>
          </w:rPr>
          <w:t>Human Resources Employee Policies</w:t>
        </w:r>
      </w:hyperlink>
      <w:r w:rsidR="00D75200">
        <w:t xml:space="preserve"> </w:t>
      </w:r>
      <w:r w:rsidRPr="00D75200">
        <w:t>web page that will give them access to the Statutes, The General Rules, the Campus Administrative Manual, and the Provost’s Communications, which contain more complete information about the policies referenced below</w:t>
      </w:r>
      <w:r w:rsidR="00D75200">
        <w:t>.</w:t>
      </w:r>
    </w:p>
    <w:p w:rsidRPr="00D75200" w:rsidR="00C53399" w:rsidP="00D75200" w:rsidRDefault="00C53399" w14:paraId="6D185F40" w14:textId="4AEC2C4D">
      <w:pPr>
        <w:pStyle w:val="Heading1"/>
      </w:pPr>
      <w:r w:rsidRPr="00D75200">
        <w:t>Notification of Appointment from the Board of Trustees</w:t>
      </w:r>
    </w:p>
    <w:p w:rsidRPr="002D7298" w:rsidR="00C53399" w:rsidP="00D75200" w:rsidRDefault="00C53399" w14:paraId="18C2A44C" w14:textId="219EDB5F">
      <w:r w:rsidRPr="00D75200">
        <w:t xml:space="preserve">The University of Illinois Statutes (Article IX, Section 3.a.) provide that only the Board of Trustees has the authority to make formal appointments to the academic staff. New academic staff members will receive a formal Notification of Appointment from the Board once the hiring unit has received back from the candidate all required documents, so the appointment can be processed. Required forms normally include the electronic Employee Information form, the I-9, W-4, and the Authorization for Deposit of Recurring Payments form. Other documents (i.e., resume/vitae, 3 references, etc.) may be required and will be requested as appropriate by the unit. Some of these forms may be completed online through </w:t>
      </w:r>
      <w:hyperlink w:history="1" r:id="rId9">
        <w:r w:rsidRPr="00D75200">
          <w:rPr>
            <w:rStyle w:val="Hyperlink"/>
          </w:rPr>
          <w:t>UI New Hire System</w:t>
        </w:r>
      </w:hyperlink>
      <w:r w:rsidRPr="00D75200">
        <w:t>.</w:t>
      </w:r>
    </w:p>
    <w:p w:rsidRPr="00D75200" w:rsidR="00C53399" w:rsidP="00D75200" w:rsidRDefault="00C53399" w14:paraId="07C4E9C9" w14:textId="77F1BEEF">
      <w:pPr>
        <w:pStyle w:val="Heading1"/>
      </w:pPr>
      <w:r w:rsidRPr="00D75200">
        <w:t>Service and Compensation</w:t>
      </w:r>
    </w:p>
    <w:p w:rsidRPr="00D75200" w:rsidR="00C53399" w:rsidP="00D75200" w:rsidRDefault="00C53399" w14:paraId="273A80A3" w14:textId="5AB472D5">
      <w:r w:rsidRPr="00D75200">
        <w:t>The terms of employment of the academic and administrative staff shall be normally defined as one of the following, and noted on the Notification of Appointment:</w:t>
      </w:r>
    </w:p>
    <w:p w:rsidRPr="00D75200" w:rsidR="00C53399" w:rsidP="00D75200" w:rsidRDefault="00C53399" w14:paraId="0A65A989" w14:textId="77777777">
      <w:pPr>
        <w:pStyle w:val="ListParagraph"/>
        <w:numPr>
          <w:ilvl w:val="0"/>
          <w:numId w:val="3"/>
        </w:numPr>
        <w:rPr/>
      </w:pPr>
      <w:r w:rsidR="2AA02DF2">
        <w:rPr/>
        <w:t>The academic year which shall consist of two semesters (i.e., 08/16-12/31, and 01/01-05/15);</w:t>
      </w:r>
    </w:p>
    <w:p w:rsidRPr="00D75200" w:rsidR="00C53399" w:rsidP="00D75200" w:rsidRDefault="00C53399" w14:paraId="7925A8B6" w14:textId="77777777">
      <w:pPr>
        <w:pStyle w:val="ListParagraph"/>
        <w:numPr>
          <w:ilvl w:val="0"/>
          <w:numId w:val="3"/>
        </w:numPr>
      </w:pPr>
      <w:r w:rsidRPr="00D75200">
        <w:t>Twelve-month basis, including allowable vacation: The annual cycle can span any twelve- month period, but is normally 08/16-08/15;</w:t>
      </w:r>
    </w:p>
    <w:p w:rsidRPr="00D75200" w:rsidR="00C53399" w:rsidP="00D75200" w:rsidRDefault="00C53399" w14:paraId="34C633F2" w14:textId="77777777">
      <w:pPr>
        <w:pStyle w:val="ListParagraph"/>
        <w:numPr>
          <w:ilvl w:val="0"/>
          <w:numId w:val="3"/>
        </w:numPr>
      </w:pPr>
      <w:r w:rsidRPr="00D75200">
        <w:t>The summer session (normally falls within 05/16-08/15);</w:t>
      </w:r>
    </w:p>
    <w:p w:rsidRPr="00D75200" w:rsidR="00C53399" w:rsidP="00D75200" w:rsidRDefault="00C53399" w14:paraId="32C39F0F" w14:textId="77777777">
      <w:pPr>
        <w:pStyle w:val="ListParagraph"/>
        <w:numPr>
          <w:ilvl w:val="0"/>
          <w:numId w:val="3"/>
        </w:numPr>
        <w:rPr/>
      </w:pPr>
      <w:r w:rsidR="2AA02DF2">
        <w:rPr/>
        <w:t xml:space="preserve">Other stated periods (i.e., academic professional employees may also be appointed on a ten- month basis, normally paid over a twelve-month period; others are appointed on a </w:t>
      </w:r>
      <w:proofErr w:type="gramStart"/>
      <w:r w:rsidR="2AA02DF2">
        <w:rPr/>
        <w:t>dates</w:t>
      </w:r>
      <w:proofErr w:type="gramEnd"/>
      <w:r w:rsidR="2AA02DF2">
        <w:rPr/>
        <w:t xml:space="preserve"> indicated basis, etc.)</w:t>
      </w:r>
    </w:p>
    <w:p w:rsidR="00C53399" w:rsidP="00C53399" w:rsidRDefault="00C53399" w14:paraId="15B9DB9E" w14:textId="77777777">
      <w:pPr>
        <w:pStyle w:val="BodyText"/>
        <w:spacing w:before="1"/>
      </w:pPr>
    </w:p>
    <w:p w:rsidRPr="00D75200" w:rsidR="00C53399" w:rsidP="00D75200" w:rsidRDefault="00C53399" w14:paraId="162AF5B9" w14:textId="77777777">
      <w:r w:rsidR="2AA02DF2">
        <w:rPr/>
        <w:t>Compensation for services shall be in twelve monthly installments or on a pro rata basis for shorter periods for all academic staff members. In other words, for services provided over the academic year (08/16-05/15), an academic staff member will be paid over twelve months (08/16-08/15). Certain exceptions to this policy of paying in twelve-monthly installments may include temporary (“visiting”) faculty and academic professionals and adjunct faculty, who may be compensated in monthly installments during the period in which services are rendered.</w:t>
      </w:r>
    </w:p>
    <w:p w:rsidR="000B574C" w:rsidP="00703F32" w:rsidRDefault="000B574C" w14:paraId="224F36F5" w14:textId="77777777"/>
    <w:p w:rsidRPr="00D75200" w:rsidR="00D75200" w:rsidP="00D75200" w:rsidRDefault="00D75200" w14:paraId="1B39DAF4" w14:textId="77777777">
      <w:r w:rsidRPr="00D75200">
        <w:t xml:space="preserve">Members of the staff required to render services during the nine-month academic year may be employed in the summer to provide services for a period not exceeding two months. They will receive, for each month of summer service, additional compensation at the monthly rate of one-ninth of the annual rate paid for services </w:t>
      </w:r>
      <w:r w:rsidRPr="00D75200">
        <w:lastRenderedPageBreak/>
        <w:t>required during the preceding academic year. Such employment may be for longer periods during the summer only upon advance approval.</w:t>
      </w:r>
    </w:p>
    <w:p w:rsidRPr="00D75200" w:rsidR="00D75200" w:rsidP="00D75200" w:rsidRDefault="00D75200" w14:paraId="1591730C" w14:textId="77777777"/>
    <w:p w:rsidRPr="00D75200" w:rsidR="00D75200" w:rsidP="00D75200" w:rsidRDefault="00D75200" w14:paraId="07F753E0" w14:textId="77777777">
      <w:r w:rsidRPr="00D75200">
        <w:t>Academic professional staff members appointed on a ten-month basis may render services for an additional month each year and receive additional compensation at the monthly rate of one-tenth of the annual rate paid for services required during the academic year.</w:t>
      </w:r>
    </w:p>
    <w:p w:rsidRPr="00D75200" w:rsidR="00D75200" w:rsidP="00D75200" w:rsidRDefault="00D75200" w14:paraId="36597AEA" w14:textId="77777777"/>
    <w:p w:rsidR="00D75200" w:rsidP="00703F32" w:rsidRDefault="00D75200" w14:paraId="69C73B46" w14:textId="77FCFB78">
      <w:r w:rsidRPr="00D75200">
        <w:t>Those required to render services for twelve months, with allowable vacation, shall not receive additional compensation for services rendered during the summer. For staff members rendering services partly on a twelve-month basis and partly on an academic year basis, this regulation applies only to the twelve-month portion.</w:t>
      </w:r>
    </w:p>
    <w:p w:rsidRPr="00D75200" w:rsidR="00D75200" w:rsidP="00D75200" w:rsidRDefault="00D75200" w14:paraId="58B016D4" w14:textId="77777777">
      <w:pPr>
        <w:pStyle w:val="Heading1"/>
      </w:pPr>
      <w:r w:rsidRPr="00D75200">
        <w:t>Vacation, Holidays, and Sick Leave</w:t>
      </w:r>
    </w:p>
    <w:p w:rsidRPr="00D75200" w:rsidR="00D75200" w:rsidP="00D75200" w:rsidRDefault="00D75200" w14:paraId="7668A9D0" w14:textId="77777777"/>
    <w:p w:rsidRPr="00D75200" w:rsidR="00D75200" w:rsidP="00D75200" w:rsidRDefault="00D75200" w14:paraId="284798DC" w14:textId="77777777">
      <w:r w:rsidR="2AA02DF2">
        <w:rPr/>
        <w:t>Academic staff members employed on the twelve-month service basis earn 24 days of vacation as of the first day of each academic year (defined as</w:t>
      </w:r>
      <w:r w:rsidR="2AA02DF2">
        <w:rPr/>
        <w:t xml:space="preserve"> 08/16-08/15) </w:t>
      </w:r>
      <w:r w:rsidR="2AA02DF2">
        <w:rPr/>
        <w:t>at the percentage of the appointment.</w:t>
      </w:r>
    </w:p>
    <w:p w:rsidRPr="00D75200" w:rsidR="00D75200" w:rsidP="00D75200" w:rsidRDefault="00D75200" w14:paraId="5DBFF2FB" w14:textId="77777777">
      <w:r w:rsidRPr="00D75200">
        <w:t>During any partial year appointment, vacation shall be pro-rated. (If the appointment is a twelve- month appointment, and the employee elects to leave employment prior to the completion of service, vacation earnings are pro-rated, and the employee will be expected to reimburse the University for any vacation taken that exceeds the time earned.) Vacation shall be arranged to accommodate the convenience of the staff member and the requirements of the unit.  Vacation may be accumulated up to a maximum of 48 working days. Vacations taken during the holiday recesses, other than the actual holidays recognized by the University, shall be considered a part of the annual vacation allowance of 24 days. Academic staff members employed on any service basis other than the twelve-month service basis (i.e., nine months, ten months, etc.) do not earn vacation.</w:t>
      </w:r>
    </w:p>
    <w:p w:rsidRPr="00D75200" w:rsidR="00D75200" w:rsidP="00D75200" w:rsidRDefault="00D75200" w14:paraId="27D976D4" w14:textId="77777777"/>
    <w:p w:rsidRPr="00D75200" w:rsidR="00D75200" w:rsidP="00D75200" w:rsidRDefault="00D75200" w14:paraId="5CB06F37" w14:textId="77777777">
      <w:r w:rsidRPr="00D75200">
        <w:t>Holidays recognized by the University shall be New Year’s Day, Martin Luther King Day, Memorial Day, Independence Day, Labor Day, Thanksgiving, Christmas, and such other days as may be determined by the President of the University. Academic staff employed at .5 or greater FTE are eligible for two floating holidays each fiscal year (July 1 – June 30). Use of floating holidays must be approved by the unit and taken between July 1 and June 30 of any given year.  Floating holidays do not carry over into the next fiscal year.</w:t>
      </w:r>
    </w:p>
    <w:p w:rsidRPr="00D75200" w:rsidR="00D75200" w:rsidP="00D75200" w:rsidRDefault="00D75200" w14:paraId="77A786C4" w14:textId="77777777"/>
    <w:p w:rsidR="00D75200" w:rsidP="00D75200" w:rsidRDefault="00D75200" w14:paraId="7122EFC0" w14:textId="4226CF4C">
      <w:r w:rsidRPr="00D75200">
        <w:t>Most academic staff members earn 25 days of sick leave each academic year at the percentage of the appointment, the first 12 of which are cumulative. Additional requirements for cumulative sick leave include participation in the State Universities Retirement System or the Federal Retirement System, and an appointment for at least 50 percent time to a position for which service is expected to be rendered for at least nine consecutive months. Medical residents, postdoctoral research associates, staff members on an F-1 or J-1 visa (not classified as Resident Aliens), SURS annuitants, other academic and administrative staff members who are not participants in the State Universities or Federal Retirement Systems, and those who are appointed for less than 50 percent time and/or for less than nine consecutive months, earn sick leave of 13 work days for each appointment year, no part of which will be cumulative.  Sick leave, like vacation, is earned on August 16 of each year and pro-rated for appointments which are for a partial year.</w:t>
      </w:r>
    </w:p>
    <w:p w:rsidRPr="00D75200" w:rsidR="00D75200" w:rsidP="00D75200" w:rsidRDefault="00D75200" w14:paraId="40915B98" w14:textId="77777777">
      <w:pPr>
        <w:pStyle w:val="Heading1"/>
      </w:pPr>
      <w:r w:rsidRPr="00D75200">
        <w:t>Eligibility for Benefits:  Retirement and Insurance</w:t>
      </w:r>
    </w:p>
    <w:p w:rsidRPr="00D75200" w:rsidR="00D75200" w:rsidP="00D75200" w:rsidRDefault="00D75200" w14:paraId="270B0E93" w14:textId="77777777">
      <w:r w:rsidRPr="00D75200">
        <w:t xml:space="preserve">An academic staff member will normally participate in the State Universities Retirement System (SURS) if the initial appointment is at least 1% of full-time service for at least four continuous months. Exemptions include those with F-1/J-1 visas (not Resident Aliens) and SURS annuitants. Other exclusions may apply. Hourly </w:t>
      </w:r>
      <w:r w:rsidRPr="00D75200">
        <w:lastRenderedPageBreak/>
        <w:t>employees not participating in SURS must contribute to Social Security unless they elect to contribute at least 7.5% of their salary by enrolling in a defined contribution retirement plan. The Benefits Center will have information about retirement information about the three retirement benefits, and employees should contact SURS for detailed information about the three retirement options. Employees who begin employment after July 1, 1998 must choose one SURS option within the first 6 months of employment.</w:t>
      </w:r>
    </w:p>
    <w:p w:rsidRPr="00D75200" w:rsidR="00D75200" w:rsidP="00D75200" w:rsidRDefault="00D75200" w14:paraId="6E3AD705" w14:textId="77777777"/>
    <w:p w:rsidRPr="00FE4C4B" w:rsidR="00D75200" w:rsidP="00703F32" w:rsidRDefault="00D75200" w14:paraId="46702E61" w14:textId="65EB788A">
      <w:r w:rsidRPr="00D75200">
        <w:t>To be eligible to participate in the State Health Insurance Program, an employee must have an initial appointment of at least .5 FTE calculated over a nine-month period of time and be eligible for SURS. Temporary employees appointed on a semester-by-semester basis who have an FTE of 100% are eligible to participate as part-time insurance eligible employees. Part-time insurance eligible employees may participate by sharing proportionately in the insurance premium cost. Undergraduate students with appointments, extra help, academic hourly, and graduate hourly employees are not eligible for employee health insurance benefits. The Benefits Center will have complete information, and new employees are encouraged to attend a scheduled benefits orientation session, as sign-up for insurance plans must be completed within the first thirty (30) days of the new appointment.</w:t>
      </w:r>
    </w:p>
    <w:sectPr w:rsidRPr="00FE4C4B" w:rsidR="00D75200" w:rsidSect="00FE4C4B">
      <w:headerReference w:type="even" r:id="rId14"/>
      <w:headerReference w:type="default" r:id="rId15"/>
      <w:footerReference w:type="even" r:id="rId16"/>
      <w:footerReference w:type="default" r:id="rId17"/>
      <w:headerReference w:type="first" r:id="rId18"/>
      <w:footerReference w:type="first" r:id="rId19"/>
      <w:pgSz w:w="12240" w:h="15840" w:orient="portrait"/>
      <w:pgMar w:top="1296" w:right="1152" w:bottom="864" w:left="1152" w:header="432" w:footer="288"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D15" w:rsidP="000A2409" w:rsidRDefault="00FA2D15" w14:paraId="1A7A6F73" w14:textId="77777777">
      <w:r>
        <w:separator/>
      </w:r>
    </w:p>
  </w:endnote>
  <w:endnote w:type="continuationSeparator" w:id="0">
    <w:p w:rsidR="00FA2D15" w:rsidP="000A2409" w:rsidRDefault="00FA2D15" w14:paraId="66873DA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409" w:rsidP="002936E9" w:rsidRDefault="000A2409" w14:paraId="257BC886" w14:textId="6216B5D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A2409" w:rsidP="000A2409" w:rsidRDefault="000A2409" w14:paraId="2A8AAF8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3860F6" w:rsidR="000A2409" w:rsidP="000A2409" w:rsidRDefault="00D51BF5" w14:paraId="06904683" w14:textId="4B193C23">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a5a5a5 [2092]" strokeweight=".25pt" from="1pt,6.85pt" to="495.05pt,6.85pt" w14:anchorId="22A62A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v:stroke joinstyle="miter"/>
              <w10:wrap anchorx="margin"/>
            </v:line>
          </w:pict>
        </mc:Fallback>
      </mc:AlternateContent>
    </w:r>
  </w:p>
  <w:p w:rsidR="000B574C" w:rsidP="000A2409" w:rsidRDefault="000B574C" w14:paraId="178976EE" w14:textId="77777777">
    <w:pPr>
      <w:pStyle w:val="Footer"/>
      <w:ind w:right="360"/>
      <w:rPr>
        <w:b/>
        <w:bCs/>
      </w:rPr>
    </w:pPr>
  </w:p>
  <w:p w:rsidRPr="000A2409" w:rsidR="000A2409" w:rsidP="000A2409" w:rsidRDefault="000A2409" w14:paraId="76B97F7F" w14:textId="3D5C432A">
    <w:pPr>
      <w:pStyle w:val="Footer"/>
      <w:ind w:right="360"/>
      <w:rPr>
        <w:b/>
        <w:bCs/>
      </w:rPr>
    </w:pPr>
    <w:r w:rsidRPr="000A2409">
      <w:rPr>
        <w:b/>
        <w:bCs/>
      </w:rPr>
      <w:t>university of illinois urbana-champaign</w:t>
    </w:r>
    <w:r w:rsidRPr="000A2409">
      <w:rPr>
        <w:b/>
        <w:bCs/>
      </w:rPr>
      <w:tab/>
    </w:r>
  </w:p>
  <w:p w:rsidR="000A2409" w:rsidP="000A2409" w:rsidRDefault="000A2409" w14:paraId="7D7077FC" w14:textId="77777777">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rsidRPr="000A2409" w:rsidR="000A2409" w:rsidP="000A2409" w:rsidRDefault="000A2409" w14:paraId="326212E4"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rsidRPr="000A2409" w:rsidR="000A2409" w:rsidP="000A2409" w:rsidRDefault="000A2409" w14:paraId="6E910F45" w14:textId="7EBB8417">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FE4C4B" w:rsidP="00FE4C4B" w:rsidRDefault="00FE4C4B" w14:paraId="33353F80"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style="visibility:visible;mso-wrap-style:square;mso-left-percent:-10001;mso-top-percent:-10001;mso-position-horizontal:absolute;mso-position-horizontal-relative:char;mso-position-vertical:absolute;mso-position-vertical-relative:line;mso-left-percent:-10001;mso-top-percent:-10001" alt="&quot;&quot;" o:spid="_x0000_s1026" strokecolor="#a5a5a5 [2092]" strokeweight=".25pt" from="0,0" to="494.05pt,0" w14:anchorId="672AEFC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v:stroke joinstyle="miter"/>
              <w10:anchorlock/>
            </v:line>
          </w:pict>
        </mc:Fallback>
      </mc:AlternateContent>
    </w:r>
  </w:p>
  <w:p w:rsidRPr="003860F6" w:rsidR="00A03A2C" w:rsidP="00FE4C4B" w:rsidRDefault="00A03A2C" w14:paraId="07C3385E" w14:textId="77777777">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rsidRPr="000A2409" w:rsidR="00FE4C4B" w:rsidP="00FE4C4B" w:rsidRDefault="00FE4C4B" w14:paraId="1CD1EE90" w14:textId="77777777">
    <w:pPr>
      <w:pStyle w:val="Footer"/>
      <w:ind w:right="360"/>
      <w:rPr>
        <w:b/>
        <w:bCs/>
      </w:rPr>
    </w:pPr>
    <w:r w:rsidRPr="000A2409">
      <w:rPr>
        <w:b/>
        <w:bCs/>
      </w:rPr>
      <w:t>university of illinois urbana-champaign</w:t>
    </w:r>
    <w:r w:rsidRPr="000A2409">
      <w:rPr>
        <w:b/>
        <w:bCs/>
      </w:rPr>
      <w:tab/>
    </w:r>
  </w:p>
  <w:p w:rsidR="00FE4C4B" w:rsidP="00FE4C4B" w:rsidRDefault="00FE4C4B" w14:paraId="3CB9D4B8" w14:textId="77777777">
    <w:pPr>
      <w:pStyle w:val="Footer"/>
      <w:rPr>
        <w:i/>
        <w:iCs/>
      </w:rPr>
    </w:pPr>
    <w:r w:rsidRPr="000A2409">
      <w:rPr>
        <w:i/>
        <w:iCs/>
      </w:rPr>
      <w:t>office of the provost</w:t>
    </w:r>
  </w:p>
  <w:p w:rsidRPr="000A2409" w:rsidR="00FE4C4B" w:rsidP="00FE4C4B" w:rsidRDefault="00FE4C4B" w14:paraId="4022587B" w14:textId="77777777">
    <w:pPr>
      <w:pStyle w:val="Footer"/>
      <w:framePr w:wrap="none" w:hAnchor="margin" w:vAnchor="text"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p w:rsidR="00FE4C4B" w:rsidRDefault="00FE4C4B" w14:paraId="03EB809E" w14:textId="503905FF">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D15" w:rsidP="000A2409" w:rsidRDefault="00FA2D15" w14:paraId="34707A02" w14:textId="77777777">
      <w:r>
        <w:separator/>
      </w:r>
    </w:p>
  </w:footnote>
  <w:footnote w:type="continuationSeparator" w:id="0">
    <w:p w:rsidR="00FA2D15" w:rsidP="000A2409" w:rsidRDefault="00FA2D15" w14:paraId="1EFD83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189" w:rsidRDefault="00D84189" w14:paraId="24C99F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4189" w:rsidRDefault="00D84189" w14:paraId="0DB7E0B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C4B" w:rsidRDefault="00FE4C4B" w14:paraId="23663367" w14:textId="3762CFE1">
    <w:pPr>
      <w:pStyle w:val="Header"/>
    </w:pPr>
    <w:r>
      <w:t>provost communications #</w:t>
    </w:r>
    <w:r w:rsidR="00D8418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939E6"/>
    <w:multiLevelType w:val="hybridMultilevel"/>
    <w:tmpl w:val="FC20E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3767ABF"/>
    <w:multiLevelType w:val="hybridMultilevel"/>
    <w:tmpl w:val="908AAA16"/>
    <w:lvl w:ilvl="0" w:tplc="7EE458DA">
      <w:start w:val="1"/>
      <w:numFmt w:val="decimal"/>
      <w:lvlText w:val="%1."/>
      <w:lvlJc w:val="left"/>
      <w:pPr>
        <w:ind w:left="463" w:hanging="329"/>
        <w:jc w:val="left"/>
      </w:pPr>
      <w:rPr>
        <w:rFonts w:hint="default" w:ascii="Times New Roman" w:hAnsi="Times New Roman" w:eastAsia="Times New Roman" w:cs="Times New Roman"/>
        <w:b/>
        <w:bCs/>
        <w:w w:val="100"/>
        <w:sz w:val="22"/>
        <w:szCs w:val="22"/>
      </w:rPr>
    </w:lvl>
    <w:lvl w:ilvl="1" w:tplc="3B0828E0">
      <w:start w:val="1"/>
      <w:numFmt w:val="decimal"/>
      <w:lvlText w:val="%2)"/>
      <w:lvlJc w:val="left"/>
      <w:pPr>
        <w:ind w:left="1198" w:hanging="360"/>
        <w:jc w:val="left"/>
      </w:pPr>
      <w:rPr>
        <w:rFonts w:hint="default" w:ascii="Times New Roman" w:hAnsi="Times New Roman" w:eastAsia="Times New Roman" w:cs="Times New Roman"/>
        <w:w w:val="100"/>
        <w:sz w:val="22"/>
        <w:szCs w:val="22"/>
      </w:rPr>
    </w:lvl>
    <w:lvl w:ilvl="2" w:tplc="99AE116A">
      <w:numFmt w:val="bullet"/>
      <w:lvlText w:val="•"/>
      <w:lvlJc w:val="left"/>
      <w:pPr>
        <w:ind w:left="2131" w:hanging="360"/>
      </w:pPr>
      <w:rPr>
        <w:rFonts w:hint="default"/>
      </w:rPr>
    </w:lvl>
    <w:lvl w:ilvl="3" w:tplc="4C1C4F8C">
      <w:numFmt w:val="bullet"/>
      <w:lvlText w:val="•"/>
      <w:lvlJc w:val="left"/>
      <w:pPr>
        <w:ind w:left="3062" w:hanging="360"/>
      </w:pPr>
      <w:rPr>
        <w:rFonts w:hint="default"/>
      </w:rPr>
    </w:lvl>
    <w:lvl w:ilvl="4" w:tplc="1EC24788">
      <w:numFmt w:val="bullet"/>
      <w:lvlText w:val="•"/>
      <w:lvlJc w:val="left"/>
      <w:pPr>
        <w:ind w:left="3993" w:hanging="360"/>
      </w:pPr>
      <w:rPr>
        <w:rFonts w:hint="default"/>
      </w:rPr>
    </w:lvl>
    <w:lvl w:ilvl="5" w:tplc="A29E113E">
      <w:numFmt w:val="bullet"/>
      <w:lvlText w:val="•"/>
      <w:lvlJc w:val="left"/>
      <w:pPr>
        <w:ind w:left="4924" w:hanging="360"/>
      </w:pPr>
      <w:rPr>
        <w:rFonts w:hint="default"/>
      </w:rPr>
    </w:lvl>
    <w:lvl w:ilvl="6" w:tplc="DA9C218A">
      <w:numFmt w:val="bullet"/>
      <w:lvlText w:val="•"/>
      <w:lvlJc w:val="left"/>
      <w:pPr>
        <w:ind w:left="5855" w:hanging="360"/>
      </w:pPr>
      <w:rPr>
        <w:rFonts w:hint="default"/>
      </w:rPr>
    </w:lvl>
    <w:lvl w:ilvl="7" w:tplc="0486D698">
      <w:numFmt w:val="bullet"/>
      <w:lvlText w:val="•"/>
      <w:lvlJc w:val="left"/>
      <w:pPr>
        <w:ind w:left="6786" w:hanging="360"/>
      </w:pPr>
      <w:rPr>
        <w:rFonts w:hint="default"/>
      </w:rPr>
    </w:lvl>
    <w:lvl w:ilvl="8" w:tplc="2EE0A806">
      <w:numFmt w:val="bullet"/>
      <w:lvlText w:val="•"/>
      <w:lvlJc w:val="left"/>
      <w:pPr>
        <w:ind w:left="7717" w:hanging="360"/>
      </w:pPr>
      <w:rPr>
        <w:rFonts w:hint="default"/>
      </w:rPr>
    </w:lvl>
  </w:abstractNum>
  <w:num w:numId="1" w16cid:durableId="268588255">
    <w:abstractNumId w:val="1"/>
  </w:num>
  <w:num w:numId="2" w16cid:durableId="52049046">
    <w:abstractNumId w:val="2"/>
  </w:num>
  <w:num w:numId="3" w16cid:durableId="186338036">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0D632A"/>
    <w:rsid w:val="002B451B"/>
    <w:rsid w:val="002D6A22"/>
    <w:rsid w:val="00301036"/>
    <w:rsid w:val="0032403C"/>
    <w:rsid w:val="00344A0C"/>
    <w:rsid w:val="003860F6"/>
    <w:rsid w:val="0052118C"/>
    <w:rsid w:val="00604831"/>
    <w:rsid w:val="006C04C0"/>
    <w:rsid w:val="00703F32"/>
    <w:rsid w:val="00707E14"/>
    <w:rsid w:val="00713AA3"/>
    <w:rsid w:val="007341F8"/>
    <w:rsid w:val="007B1951"/>
    <w:rsid w:val="0084440C"/>
    <w:rsid w:val="008A0E7F"/>
    <w:rsid w:val="008E1C24"/>
    <w:rsid w:val="008F2251"/>
    <w:rsid w:val="009D6A6D"/>
    <w:rsid w:val="00A03A2C"/>
    <w:rsid w:val="00A0483F"/>
    <w:rsid w:val="00B0614C"/>
    <w:rsid w:val="00B917A3"/>
    <w:rsid w:val="00BB4D37"/>
    <w:rsid w:val="00C53399"/>
    <w:rsid w:val="00C75E39"/>
    <w:rsid w:val="00CE287E"/>
    <w:rsid w:val="00D06A55"/>
    <w:rsid w:val="00D3558E"/>
    <w:rsid w:val="00D51BF5"/>
    <w:rsid w:val="00D75200"/>
    <w:rsid w:val="00D84189"/>
    <w:rsid w:val="00DF4999"/>
    <w:rsid w:val="00E85A30"/>
    <w:rsid w:val="00EC18A9"/>
    <w:rsid w:val="00EF4637"/>
    <w:rsid w:val="00FA2D15"/>
    <w:rsid w:val="00FE4C4B"/>
    <w:rsid w:val="2AA0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D75200"/>
    <w:pPr>
      <w:widowControl w:val="0"/>
      <w:autoSpaceDE w:val="0"/>
      <w:autoSpaceDN w:val="0"/>
    </w:pPr>
    <w:rPr>
      <w:rFonts w:eastAsia="Times New Roman" w:cs="Times New Roman"/>
      <w:kern w:val="0"/>
      <w:sz w:val="22"/>
      <w:szCs w:val="22"/>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hAnsiTheme="majorHAnsi" w:eastAsiaTheme="majorEastAsia"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hAnsiTheme="majorHAnsi" w:eastAsiaTheme="majorEastAsia" w:cstheme="majorBidi"/>
      <w:color w:val="C8411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Footer"/>
    <w:link w:val="HeaderChar"/>
    <w:uiPriority w:val="99"/>
    <w:unhideWhenUsed/>
    <w:rsid w:val="0032403C"/>
  </w:style>
  <w:style w:type="character" w:styleId="HeaderChar" w:customStyle="1">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2D6A22"/>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styleId="FooterChar" w:customStyle="1">
    <w:name w:val="Footer Char"/>
    <w:basedOn w:val="DefaultParagraphFont"/>
    <w:link w:val="Footer"/>
    <w:uiPriority w:val="99"/>
    <w:rsid w:val="002D6A22"/>
    <w:rPr>
      <w:rFonts w:eastAsia="Times New Roman" w:cs="Times New Roman (Body CS)"/>
      <w:smallCaps/>
      <w:color w:val="0D0D0D" w:themeColor="text1" w:themeTint="F2"/>
      <w:spacing w:val="6"/>
      <w:kern w:val="0"/>
      <w:sz w:val="20"/>
      <w:szCs w:val="22"/>
      <w14:ligatures w14:val="none"/>
      <w14:numForm w14:val="oldStyle"/>
      <w14:numSpacing w14:val="proportional"/>
    </w:rPr>
  </w:style>
  <w:style w:type="character" w:styleId="PageNumber">
    <w:name w:val="page number"/>
    <w:basedOn w:val="DefaultParagraphFont"/>
    <w:uiPriority w:val="99"/>
    <w:semiHidden/>
    <w:unhideWhenUsed/>
    <w:rsid w:val="000A2409"/>
  </w:style>
  <w:style w:type="character" w:styleId="Heading1Char" w:customStyle="1">
    <w:name w:val="Heading 1 Char"/>
    <w:basedOn w:val="DefaultParagraphFont"/>
    <w:link w:val="Heading1"/>
    <w:uiPriority w:val="9"/>
    <w:rsid w:val="002B451B"/>
    <w:rPr>
      <w:rFonts w:asciiTheme="majorHAnsi" w:hAnsiTheme="majorHAnsi" w:eastAsiaTheme="majorEastAsia" w:cstheme="majorBidi"/>
      <w:color w:val="13294B"/>
      <w:sz w:val="32"/>
      <w:szCs w:val="32"/>
    </w:rPr>
  </w:style>
  <w:style w:type="character" w:styleId="Heading2Char" w:customStyle="1">
    <w:name w:val="Heading 2 Char"/>
    <w:basedOn w:val="DefaultParagraphFont"/>
    <w:link w:val="Heading2"/>
    <w:uiPriority w:val="9"/>
    <w:rsid w:val="002B451B"/>
    <w:rPr>
      <w:rFonts w:asciiTheme="majorHAnsi" w:hAnsiTheme="majorHAnsi" w:eastAsiaTheme="majorEastAsia"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hAnsiTheme="majorHAnsi" w:eastAsiaTheme="majorEastAsia" w:cstheme="majorBidi"/>
      <w:color w:val="13294B"/>
      <w:spacing w:val="-10"/>
      <w:kern w:val="28"/>
      <w:sz w:val="56"/>
      <w:szCs w:val="56"/>
    </w:rPr>
  </w:style>
  <w:style w:type="character" w:styleId="TitleChar" w:customStyle="1">
    <w:name w:val="Title Char"/>
    <w:basedOn w:val="DefaultParagraphFont"/>
    <w:link w:val="Title"/>
    <w:uiPriority w:val="10"/>
    <w:rsid w:val="00344A0C"/>
    <w:rPr>
      <w:rFonts w:asciiTheme="majorHAnsi" w:hAnsiTheme="majorHAnsi" w:eastAsiaTheme="majorEastAsia"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7341F8"/>
    <w:pPr>
      <w:ind w:left="720"/>
      <w:contextualSpacing/>
    </w:pPr>
  </w:style>
  <w:style w:type="paragraph" w:styleId="BodyText">
    <w:name w:val="Body Text"/>
    <w:basedOn w:val="Normal"/>
    <w:link w:val="BodyTextChar"/>
    <w:uiPriority w:val="1"/>
    <w:qFormat/>
    <w:rsid w:val="00C53399"/>
  </w:style>
  <w:style w:type="character" w:styleId="BodyTextChar" w:customStyle="1">
    <w:name w:val="Body Text Char"/>
    <w:basedOn w:val="DefaultParagraphFont"/>
    <w:link w:val="BodyText"/>
    <w:uiPriority w:val="1"/>
    <w:rsid w:val="00C53399"/>
    <w:rPr>
      <w:rFonts w:ascii="Times New Roman" w:hAnsi="Times New Roman" w:eastAsia="Times New Roman" w:cs="Times New Roman"/>
      <w:kern w:val="0"/>
      <w:sz w:val="22"/>
      <w:szCs w:val="22"/>
      <w14:ligatures w14:val="none"/>
    </w:rPr>
  </w:style>
  <w:style w:type="character" w:styleId="Hyperlink">
    <w:name w:val="Hyperlink"/>
    <w:basedOn w:val="DefaultParagraphFont"/>
    <w:uiPriority w:val="99"/>
    <w:unhideWhenUsed/>
    <w:rsid w:val="00C53399"/>
    <w:rPr>
      <w:color w:val="0563C1" w:themeColor="hyperlink"/>
      <w:u w:val="single"/>
    </w:rPr>
  </w:style>
  <w:style w:type="character" w:styleId="Emphasis">
    <w:name w:val="Emphasis"/>
    <w:basedOn w:val="DefaultParagraphFont"/>
    <w:uiPriority w:val="20"/>
    <w:qFormat/>
    <w:rsid w:val="00DF4999"/>
    <w:rPr>
      <w:i/>
      <w:iCs/>
    </w:rPr>
  </w:style>
  <w:style w:type="character" w:styleId="UnresolvedMention">
    <w:name w:val="Unresolved Mention"/>
    <w:basedOn w:val="DefaultParagraphFont"/>
    <w:uiPriority w:val="99"/>
    <w:semiHidden/>
    <w:unhideWhenUsed/>
    <w:rsid w:val="00D75200"/>
    <w:rPr>
      <w:color w:val="605E5C"/>
      <w:shd w:val="clear" w:color="auto" w:fill="E1DFDD"/>
    </w:rPr>
  </w:style>
  <w:style w:type="character" w:styleId="CommentReference">
    <w:name w:val="annotation reference"/>
    <w:basedOn w:val="DefaultParagraphFont"/>
    <w:uiPriority w:val="99"/>
    <w:semiHidden/>
    <w:unhideWhenUsed/>
    <w:rsid w:val="00D75200"/>
    <w:rPr>
      <w:sz w:val="16"/>
      <w:szCs w:val="16"/>
    </w:rPr>
  </w:style>
  <w:style w:type="paragraph" w:styleId="CommentText">
    <w:name w:val="annotation text"/>
    <w:basedOn w:val="Normal"/>
    <w:link w:val="CommentTextChar"/>
    <w:uiPriority w:val="99"/>
    <w:semiHidden/>
    <w:unhideWhenUsed/>
    <w:rsid w:val="00D75200"/>
    <w:rPr>
      <w:sz w:val="20"/>
      <w:szCs w:val="20"/>
    </w:rPr>
  </w:style>
  <w:style w:type="character" w:styleId="CommentTextChar" w:customStyle="1">
    <w:name w:val="Comment Text Char"/>
    <w:basedOn w:val="DefaultParagraphFont"/>
    <w:link w:val="CommentText"/>
    <w:uiPriority w:val="99"/>
    <w:semiHidden/>
    <w:rsid w:val="00D75200"/>
    <w:rPr>
      <w:rFonts w:eastAsia="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75200"/>
    <w:rPr>
      <w:b/>
      <w:bCs/>
    </w:rPr>
  </w:style>
  <w:style w:type="character" w:styleId="CommentSubjectChar" w:customStyle="1">
    <w:name w:val="Comment Subject Char"/>
    <w:basedOn w:val="CommentTextChar"/>
    <w:link w:val="CommentSubject"/>
    <w:uiPriority w:val="99"/>
    <w:semiHidden/>
    <w:rsid w:val="00D75200"/>
    <w:rPr>
      <w:rFonts w:eastAsia="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umanresources.illinois.edu/employees/policies/index.html" TargetMode="External" Id="rId8" /><Relationship Type="http://schemas.openxmlformats.org/officeDocument/2006/relationships/header" Target="header3.xml" Id="rId18" /><Relationship Type="http://schemas.openxmlformats.org/officeDocument/2006/relationships/styles" Target="styles.xml" Id="rId3" /><Relationship Type="http://schemas.microsoft.com/office/2011/relationships/people" Target="people.xml" Id="rId21" /><Relationship Type="http://schemas.openxmlformats.org/officeDocument/2006/relationships/endnotes" Target="endnote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11/relationships/commentsExtended" Target="commentsExtended.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settings" Target="settings.xml" Id="rId4" /><Relationship Type="http://schemas.openxmlformats.org/officeDocument/2006/relationships/hyperlink" Target="https://www.hr.uillinois.edu/human_resource_systems/new_hire_system_and_resources" TargetMode="External" Id="rId9" /><Relationship Type="http://schemas.openxmlformats.org/officeDocument/2006/relationships/header" Target="header1.xml" Id="rId14" /><Relationship Type="http://schemas.openxmlformats.org/officeDocument/2006/relationships/theme" Target="theme/theme1.xml" Id="rId22" /><Relationship Type="http://schemas.openxmlformats.org/officeDocument/2006/relationships/glossaryDocument" Target="glossary/document.xml" Id="R9ff2c91aaed94b1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bcf933-03cb-4206-ae78-f222cb3842ae}"/>
      </w:docPartPr>
      <w:docPartBody>
        <w:p w14:paraId="2AA02D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Peloquin, Charlotte</dc:creator>
  <keywords/>
  <dc:description/>
  <lastModifiedBy>Alyssa Aiello</lastModifiedBy>
  <revision>5</revision>
  <dcterms:created xsi:type="dcterms:W3CDTF">2023-08-11T23:10:00.0000000Z</dcterms:created>
  <dcterms:modified xsi:type="dcterms:W3CDTF">2023-11-16T17:07:23.3419477Z</dcterms:modified>
</coreProperties>
</file>